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3579"/>
        <w:gridCol w:w="711"/>
        <w:gridCol w:w="1074"/>
        <w:gridCol w:w="1345"/>
        <w:gridCol w:w="1215"/>
        <w:tblGridChange w:id="0">
          <w:tblGrid>
            <w:gridCol w:w="796"/>
            <w:gridCol w:w="3579"/>
            <w:gridCol w:w="711"/>
            <w:gridCol w:w="1074"/>
            <w:gridCol w:w="134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Nº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PEDRO IBIAPINO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ALZIRA PEREIRA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660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SÃO JOSÉ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420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ADELAIDE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621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MARIA EPIFÂNEA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875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JOÃO MARTINS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3.434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BIBLIOTECA SESI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OSCARINA CAVALCANTE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2.067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GETULIO VARGAS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CRECHE DEDÉ LOLA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1.054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BIBLIOTECA MUNICIPAL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ESCOLA MONSENHOR ESTANISLAU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11.254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Poção, 02 de janeiro de 202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Dados da empresa/pessoa física: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Nome: ___________________________________________________________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CNPJ: ________________________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6F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cu8wzOE03GNu8LNMayoTpkdzw==">CgMxLjA4AHIhMUswSnBQa1hWeDJqckw2UWpod05XNFdMWGs5ZDRyaDJf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